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34D2" w14:textId="77777777" w:rsidR="00AE0EA6" w:rsidRPr="00876B77" w:rsidRDefault="00876B77" w:rsidP="006D3DD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876B77">
        <w:rPr>
          <w:rFonts w:ascii="Arial" w:hAnsi="Arial" w:cs="Arial"/>
          <w:b/>
          <w:sz w:val="36"/>
          <w:szCs w:val="36"/>
        </w:rPr>
        <w:t xml:space="preserve">AVIS </w:t>
      </w:r>
      <w:bookmarkStart w:id="1" w:name="_Hlk149806805"/>
      <w:r w:rsidR="002967DC">
        <w:rPr>
          <w:rFonts w:ascii="Arial" w:hAnsi="Arial" w:cs="Arial"/>
          <w:b/>
          <w:sz w:val="36"/>
          <w:szCs w:val="36"/>
        </w:rPr>
        <w:t>D’APPEL A CANDIDATURE</w:t>
      </w:r>
      <w:bookmarkEnd w:id="1"/>
    </w:p>
    <w:p w14:paraId="66D04317" w14:textId="78D4DBA9" w:rsidR="00681D80" w:rsidRPr="00876B77" w:rsidRDefault="00D73301" w:rsidP="006D3DDE">
      <w:pPr>
        <w:jc w:val="center"/>
        <w:rPr>
          <w:rFonts w:ascii="Arial" w:hAnsi="Arial" w:cs="Arial"/>
          <w:b/>
          <w:sz w:val="24"/>
          <w:szCs w:val="24"/>
        </w:rPr>
      </w:pPr>
      <w:r w:rsidRPr="00876B77">
        <w:rPr>
          <w:rFonts w:ascii="Arial" w:hAnsi="Arial" w:cs="Arial"/>
          <w:b/>
          <w:sz w:val="24"/>
          <w:szCs w:val="24"/>
        </w:rPr>
        <w:t xml:space="preserve">AUTORISATION D’OCCUPATION </w:t>
      </w:r>
      <w:r w:rsidR="002967DC">
        <w:rPr>
          <w:rFonts w:ascii="Arial" w:hAnsi="Arial" w:cs="Arial"/>
          <w:b/>
          <w:sz w:val="24"/>
          <w:szCs w:val="24"/>
        </w:rPr>
        <w:t xml:space="preserve">TEMPORAIRE </w:t>
      </w:r>
      <w:r w:rsidRPr="00876B77">
        <w:rPr>
          <w:rFonts w:ascii="Arial" w:hAnsi="Arial" w:cs="Arial"/>
          <w:b/>
          <w:sz w:val="24"/>
          <w:szCs w:val="24"/>
        </w:rPr>
        <w:t>DU DOMAINE PUBLIC (AOT)</w:t>
      </w:r>
      <w:r w:rsidR="002853DF" w:rsidRPr="00876B77">
        <w:rPr>
          <w:rFonts w:ascii="Arial" w:hAnsi="Arial" w:cs="Arial"/>
          <w:b/>
          <w:sz w:val="24"/>
          <w:szCs w:val="24"/>
        </w:rPr>
        <w:t xml:space="preserve"> </w:t>
      </w:r>
      <w:r w:rsidRPr="00876B77">
        <w:rPr>
          <w:rFonts w:ascii="Arial" w:hAnsi="Arial" w:cs="Arial"/>
          <w:b/>
          <w:sz w:val="24"/>
          <w:szCs w:val="24"/>
        </w:rPr>
        <w:t xml:space="preserve">POUR </w:t>
      </w:r>
      <w:r w:rsidR="00FF31BA">
        <w:rPr>
          <w:rFonts w:ascii="Arial" w:hAnsi="Arial" w:cs="Arial"/>
          <w:b/>
          <w:sz w:val="24"/>
          <w:szCs w:val="24"/>
        </w:rPr>
        <w:t>UNE</w:t>
      </w:r>
      <w:r w:rsidR="002967DC">
        <w:rPr>
          <w:rFonts w:ascii="Arial" w:hAnsi="Arial" w:cs="Arial"/>
          <w:b/>
          <w:sz w:val="24"/>
          <w:szCs w:val="24"/>
        </w:rPr>
        <w:t xml:space="preserve"> OFFRE DE RESTAURATION </w:t>
      </w:r>
      <w:r w:rsidR="009A5680">
        <w:rPr>
          <w:rFonts w:ascii="Arial" w:hAnsi="Arial" w:cs="Arial"/>
          <w:b/>
          <w:sz w:val="24"/>
          <w:szCs w:val="24"/>
        </w:rPr>
        <w:t>AU SEIN DE LA GARE ROUTIERE DE SAINT-PAUL</w:t>
      </w:r>
    </w:p>
    <w:p w14:paraId="5EAAAB49" w14:textId="77777777" w:rsidR="002853DF" w:rsidRPr="00876B77" w:rsidRDefault="002853DF" w:rsidP="00876B77">
      <w:pPr>
        <w:pBdr>
          <w:bottom w:val="single" w:sz="2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5479F8DE" w14:textId="35D7422E" w:rsidR="00AE0EA6" w:rsidRPr="00876B77" w:rsidRDefault="002853DF" w:rsidP="00AE0EA6">
      <w:pPr>
        <w:jc w:val="center"/>
        <w:rPr>
          <w:rFonts w:ascii="Arial" w:hAnsi="Arial" w:cs="Arial"/>
          <w:b/>
          <w:sz w:val="24"/>
          <w:szCs w:val="24"/>
        </w:rPr>
      </w:pPr>
      <w:r w:rsidRPr="00876B77">
        <w:rPr>
          <w:rFonts w:ascii="Arial" w:hAnsi="Arial" w:cs="Arial"/>
          <w:b/>
          <w:sz w:val="24"/>
          <w:szCs w:val="24"/>
        </w:rPr>
        <w:t>Procédure de mise en concurrence en vue de désigner l</w:t>
      </w:r>
      <w:r w:rsidR="009A5680">
        <w:rPr>
          <w:rFonts w:ascii="Arial" w:hAnsi="Arial" w:cs="Arial"/>
          <w:b/>
          <w:sz w:val="24"/>
          <w:szCs w:val="24"/>
        </w:rPr>
        <w:t>’a</w:t>
      </w:r>
      <w:r w:rsidRPr="00876B77">
        <w:rPr>
          <w:rFonts w:ascii="Arial" w:hAnsi="Arial" w:cs="Arial"/>
          <w:b/>
          <w:sz w:val="24"/>
          <w:szCs w:val="24"/>
        </w:rPr>
        <w:t xml:space="preserve">ttributaire de </w:t>
      </w:r>
      <w:r w:rsidR="009A5680">
        <w:rPr>
          <w:rFonts w:ascii="Arial" w:hAnsi="Arial" w:cs="Arial"/>
          <w:b/>
          <w:sz w:val="24"/>
          <w:szCs w:val="24"/>
        </w:rPr>
        <w:t>l’</w:t>
      </w:r>
      <w:r w:rsidRPr="00876B77">
        <w:rPr>
          <w:rFonts w:ascii="Arial" w:hAnsi="Arial" w:cs="Arial"/>
          <w:b/>
          <w:sz w:val="24"/>
          <w:szCs w:val="24"/>
        </w:rPr>
        <w:t xml:space="preserve">AOT </w:t>
      </w:r>
      <w:r w:rsidR="002967DC">
        <w:rPr>
          <w:rFonts w:ascii="Arial" w:hAnsi="Arial" w:cs="Arial"/>
          <w:b/>
          <w:sz w:val="24"/>
          <w:szCs w:val="24"/>
        </w:rPr>
        <w:t xml:space="preserve">restauration </w:t>
      </w:r>
      <w:r w:rsidR="009A5680">
        <w:rPr>
          <w:rFonts w:ascii="Arial" w:hAnsi="Arial" w:cs="Arial"/>
          <w:b/>
          <w:sz w:val="24"/>
          <w:szCs w:val="24"/>
        </w:rPr>
        <w:t>au sein de la gare routière de Saint-Paul</w:t>
      </w:r>
      <w:r w:rsidR="00AE0EA6" w:rsidRPr="00876B77">
        <w:rPr>
          <w:rFonts w:ascii="Arial" w:hAnsi="Arial" w:cs="Arial"/>
          <w:b/>
          <w:sz w:val="24"/>
          <w:szCs w:val="24"/>
        </w:rPr>
        <w:t xml:space="preserve"> (La Réunion)</w:t>
      </w:r>
    </w:p>
    <w:p w14:paraId="664D4552" w14:textId="5BC53997" w:rsidR="002967DC" w:rsidRPr="002967DC" w:rsidRDefault="002853DF" w:rsidP="00296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876B77">
        <w:rPr>
          <w:rFonts w:ascii="Arial" w:hAnsi="Arial" w:cs="Arial"/>
          <w:sz w:val="24"/>
          <w:szCs w:val="24"/>
        </w:rPr>
        <w:t xml:space="preserve">Le Territoire de </w:t>
      </w:r>
      <w:r w:rsidR="009A5680">
        <w:rPr>
          <w:rFonts w:ascii="Arial" w:hAnsi="Arial" w:cs="Arial"/>
          <w:sz w:val="24"/>
          <w:szCs w:val="24"/>
        </w:rPr>
        <w:t>l’Ouest</w:t>
      </w:r>
      <w:r w:rsidRPr="00876B77">
        <w:rPr>
          <w:rFonts w:ascii="Arial" w:hAnsi="Arial" w:cs="Arial"/>
          <w:i/>
          <w:sz w:val="24"/>
          <w:szCs w:val="24"/>
        </w:rPr>
        <w:t xml:space="preserve"> </w:t>
      </w:r>
      <w:r w:rsidR="00E04319" w:rsidRPr="00876B77">
        <w:rPr>
          <w:rFonts w:ascii="Arial" w:hAnsi="Arial" w:cs="Arial"/>
          <w:i/>
          <w:sz w:val="24"/>
          <w:szCs w:val="24"/>
        </w:rPr>
        <w:t>(</w:t>
      </w:r>
      <w:r w:rsidRPr="00876B77">
        <w:rPr>
          <w:rFonts w:ascii="Arial" w:hAnsi="Arial" w:cs="Arial"/>
          <w:i/>
          <w:sz w:val="24"/>
          <w:szCs w:val="24"/>
        </w:rPr>
        <w:t>BP 50049 – 97822 Le Port Cedex - Ile de La Réunion</w:t>
      </w:r>
      <w:r w:rsidR="00E04319" w:rsidRPr="00876B77">
        <w:rPr>
          <w:rFonts w:ascii="Arial" w:hAnsi="Arial" w:cs="Arial"/>
          <w:i/>
          <w:sz w:val="24"/>
          <w:szCs w:val="24"/>
        </w:rPr>
        <w:t>)</w:t>
      </w:r>
      <w:r w:rsidR="00073038" w:rsidRPr="00876B77">
        <w:rPr>
          <w:rFonts w:ascii="Arial" w:hAnsi="Arial" w:cs="Arial"/>
          <w:i/>
          <w:sz w:val="24"/>
          <w:szCs w:val="24"/>
        </w:rPr>
        <w:t xml:space="preserve"> </w:t>
      </w:r>
      <w:r w:rsidR="002967DC" w:rsidRPr="002967DC">
        <w:rPr>
          <w:rFonts w:ascii="Arial" w:hAnsi="Arial" w:cs="Arial"/>
          <w:bCs/>
          <w:color w:val="000000"/>
          <w:sz w:val="24"/>
        </w:rPr>
        <w:t xml:space="preserve">réalise actuellement des travaux </w:t>
      </w:r>
      <w:r w:rsidR="009A5680">
        <w:rPr>
          <w:rFonts w:ascii="Arial" w:hAnsi="Arial" w:cs="Arial"/>
          <w:bCs/>
          <w:color w:val="000000"/>
          <w:sz w:val="24"/>
        </w:rPr>
        <w:t>de remise en état du local commercial de la Gare routière de Saint-Paul.</w:t>
      </w:r>
    </w:p>
    <w:p w14:paraId="3D69517A" w14:textId="36D610B2" w:rsidR="002967DC" w:rsidRPr="002967DC" w:rsidRDefault="002967DC" w:rsidP="00296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67DC">
        <w:rPr>
          <w:rFonts w:ascii="Arial" w:hAnsi="Arial" w:cs="Arial"/>
          <w:bCs/>
          <w:color w:val="000000"/>
          <w:sz w:val="24"/>
        </w:rPr>
        <w:t>Le T</w:t>
      </w:r>
      <w:r w:rsidR="009A5680">
        <w:rPr>
          <w:rFonts w:ascii="Arial" w:hAnsi="Arial" w:cs="Arial"/>
          <w:bCs/>
          <w:color w:val="000000"/>
          <w:sz w:val="24"/>
        </w:rPr>
        <w:t>erritoire de l’Ouest,</w:t>
      </w:r>
      <w:r w:rsidRPr="002967DC">
        <w:rPr>
          <w:rFonts w:ascii="Arial" w:hAnsi="Arial" w:cs="Arial"/>
          <w:bCs/>
          <w:color w:val="000000"/>
          <w:sz w:val="24"/>
        </w:rPr>
        <w:t xml:space="preserve"> soucieux d’apporter un service à destination des usagers du transport collectif, ainsi qu’aux piétons, souhaite mettre à disposition </w:t>
      </w:r>
      <w:r w:rsidR="009A5680">
        <w:rPr>
          <w:rFonts w:ascii="Arial" w:hAnsi="Arial" w:cs="Arial"/>
          <w:bCs/>
          <w:color w:val="000000"/>
          <w:sz w:val="24"/>
        </w:rPr>
        <w:t xml:space="preserve">une </w:t>
      </w:r>
      <w:r w:rsidRPr="002967DC">
        <w:rPr>
          <w:rFonts w:ascii="Arial" w:hAnsi="Arial" w:cs="Arial"/>
          <w:bCs/>
          <w:color w:val="000000"/>
          <w:sz w:val="24"/>
        </w:rPr>
        <w:t>offre de restauration de qualité, rapide et diversifiée. Par le présent avis d’appel à candidature, le T</w:t>
      </w:r>
      <w:r w:rsidR="009A5680">
        <w:rPr>
          <w:rFonts w:ascii="Arial" w:hAnsi="Arial" w:cs="Arial"/>
          <w:bCs/>
          <w:color w:val="000000"/>
          <w:sz w:val="24"/>
        </w:rPr>
        <w:t>erritoire de l’Ouest</w:t>
      </w:r>
      <w:r w:rsidRPr="002967DC">
        <w:rPr>
          <w:rFonts w:ascii="Arial" w:hAnsi="Arial" w:cs="Arial"/>
          <w:bCs/>
          <w:color w:val="000000"/>
          <w:sz w:val="24"/>
        </w:rPr>
        <w:t xml:space="preserve"> entend solliciter l’initiative privée afin qu’il lui soit présentées des candidatures et des propositions de projet</w:t>
      </w:r>
      <w:r>
        <w:rPr>
          <w:rFonts w:ascii="Arial" w:hAnsi="Arial" w:cs="Arial"/>
          <w:bCs/>
          <w:color w:val="000000"/>
          <w:sz w:val="24"/>
        </w:rPr>
        <w:t>s</w:t>
      </w:r>
      <w:r w:rsidRPr="002967DC">
        <w:rPr>
          <w:rFonts w:ascii="Arial" w:hAnsi="Arial" w:cs="Arial"/>
          <w:bCs/>
          <w:color w:val="000000"/>
          <w:sz w:val="24"/>
        </w:rPr>
        <w:t xml:space="preserve"> s’inscrivant dans ce cadre. </w:t>
      </w:r>
    </w:p>
    <w:p w14:paraId="0C678460" w14:textId="660E7EC3" w:rsidR="002967DC" w:rsidRPr="002967DC" w:rsidRDefault="002967DC" w:rsidP="00296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67DC">
        <w:rPr>
          <w:rFonts w:ascii="Arial" w:hAnsi="Arial" w:cs="Arial"/>
          <w:b/>
          <w:sz w:val="24"/>
          <w:szCs w:val="24"/>
        </w:rPr>
        <w:t>AOT « restauration fixe » </w:t>
      </w:r>
      <w:r>
        <w:rPr>
          <w:rFonts w:ascii="Arial" w:hAnsi="Arial" w:cs="Arial"/>
          <w:sz w:val="24"/>
          <w:szCs w:val="24"/>
        </w:rPr>
        <w:t xml:space="preserve">: </w:t>
      </w:r>
      <w:r w:rsidRPr="002967DC">
        <w:rPr>
          <w:rFonts w:ascii="Arial" w:hAnsi="Arial" w:cs="Arial"/>
          <w:bCs/>
          <w:color w:val="000000"/>
          <w:sz w:val="24"/>
        </w:rPr>
        <w:t xml:space="preserve">Conformément aux dispositions des articles L2122-1 et suivants du Code Général de la Propriété des Personnes Publiques (CGPPP), le </w:t>
      </w:r>
      <w:r w:rsidR="00114858">
        <w:rPr>
          <w:rFonts w:ascii="Arial" w:hAnsi="Arial" w:cs="Arial"/>
          <w:bCs/>
          <w:color w:val="000000"/>
          <w:sz w:val="24"/>
        </w:rPr>
        <w:t>Territoire de l’Ouest</w:t>
      </w:r>
      <w:r w:rsidRPr="002967DC">
        <w:rPr>
          <w:rFonts w:ascii="Arial" w:hAnsi="Arial" w:cs="Arial"/>
          <w:bCs/>
          <w:color w:val="000000"/>
          <w:sz w:val="24"/>
        </w:rPr>
        <w:t xml:space="preserve"> organise une procédure de sélection préalable présentant toutes les garanties d’impartialité et de transparence, en vue de l’attribution d’un emplacement </w:t>
      </w:r>
      <w:r w:rsidR="00114858">
        <w:rPr>
          <w:rFonts w:ascii="Arial" w:hAnsi="Arial" w:cs="Arial"/>
          <w:bCs/>
          <w:color w:val="000000"/>
          <w:sz w:val="24"/>
        </w:rPr>
        <w:t>en gare routière de Saint-</w:t>
      </w:r>
      <w:r w:rsidR="00540EF0">
        <w:rPr>
          <w:rFonts w:ascii="Arial" w:hAnsi="Arial" w:cs="Arial"/>
          <w:bCs/>
          <w:color w:val="000000"/>
          <w:sz w:val="24"/>
        </w:rPr>
        <w:t>Paul</w:t>
      </w:r>
      <w:r w:rsidR="00540EF0" w:rsidRPr="002967DC">
        <w:rPr>
          <w:rFonts w:ascii="Arial" w:hAnsi="Arial" w:cs="Arial"/>
          <w:bCs/>
          <w:color w:val="000000"/>
          <w:sz w:val="24"/>
        </w:rPr>
        <w:t>, pour</w:t>
      </w:r>
      <w:r w:rsidRPr="002967DC">
        <w:rPr>
          <w:rFonts w:ascii="Arial" w:hAnsi="Arial" w:cs="Arial"/>
          <w:bCs/>
          <w:color w:val="000000"/>
          <w:sz w:val="24"/>
        </w:rPr>
        <w:t xml:space="preserve"> l’exploitation d’un point de restauration fixe de type « snack-bar ». </w:t>
      </w:r>
      <w:r w:rsidR="005F642F" w:rsidRPr="005F642F">
        <w:rPr>
          <w:rFonts w:ascii="Arial" w:hAnsi="Arial" w:cs="Arial"/>
          <w:bCs/>
          <w:color w:val="000000"/>
          <w:sz w:val="24"/>
        </w:rPr>
        <w:t>L’autorisation est accordée pour une durée de trois ans à compter de la date de délivrance, renouvelable une fois, pour une durée équivalente.</w:t>
      </w:r>
    </w:p>
    <w:p w14:paraId="7A4DFC30" w14:textId="6B9BD314" w:rsidR="002967DC" w:rsidRPr="002967DC" w:rsidRDefault="002967DC" w:rsidP="00296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2967DC">
        <w:rPr>
          <w:rFonts w:ascii="Arial" w:hAnsi="Arial" w:cs="Arial"/>
          <w:bCs/>
          <w:color w:val="000000"/>
          <w:sz w:val="24"/>
        </w:rPr>
        <w:t xml:space="preserve">La mise à disposition de l’emplacement se fera à compter </w:t>
      </w:r>
      <w:r w:rsidR="001B66DD" w:rsidRPr="002967DC">
        <w:rPr>
          <w:rFonts w:ascii="Arial" w:hAnsi="Arial" w:cs="Arial"/>
          <w:bCs/>
          <w:color w:val="000000"/>
          <w:sz w:val="24"/>
        </w:rPr>
        <w:t>d’avril</w:t>
      </w:r>
      <w:r w:rsidRPr="002967DC">
        <w:rPr>
          <w:rFonts w:ascii="Arial" w:hAnsi="Arial" w:cs="Arial"/>
          <w:color w:val="000000"/>
          <w:sz w:val="24"/>
        </w:rPr>
        <w:t xml:space="preserve"> 202</w:t>
      </w:r>
      <w:r w:rsidR="005F642F">
        <w:rPr>
          <w:rFonts w:ascii="Arial" w:hAnsi="Arial" w:cs="Arial"/>
          <w:color w:val="000000"/>
          <w:sz w:val="24"/>
        </w:rPr>
        <w:t>4</w:t>
      </w:r>
      <w:r w:rsidRPr="002967DC">
        <w:rPr>
          <w:rFonts w:ascii="Arial" w:hAnsi="Arial" w:cs="Arial"/>
          <w:color w:val="000000"/>
          <w:sz w:val="24"/>
        </w:rPr>
        <w:t xml:space="preserve">, pour une exploitation au plus tard </w:t>
      </w:r>
      <w:r w:rsidR="001B66DD">
        <w:rPr>
          <w:rFonts w:ascii="Arial" w:hAnsi="Arial" w:cs="Arial"/>
          <w:color w:val="000000"/>
          <w:sz w:val="24"/>
        </w:rPr>
        <w:t>en fin de mois</w:t>
      </w:r>
      <w:r w:rsidRPr="002967DC">
        <w:rPr>
          <w:rFonts w:ascii="Arial" w:hAnsi="Arial" w:cs="Arial"/>
          <w:color w:val="000000"/>
          <w:sz w:val="24"/>
        </w:rPr>
        <w:t xml:space="preserve">. </w:t>
      </w:r>
    </w:p>
    <w:p w14:paraId="0BE8F248" w14:textId="71964F34" w:rsidR="002967DC" w:rsidRPr="002967DC" w:rsidRDefault="002967DC" w:rsidP="00296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2967DC">
        <w:rPr>
          <w:rFonts w:ascii="Arial" w:hAnsi="Arial" w:cs="Arial"/>
          <w:bCs/>
          <w:color w:val="000000"/>
          <w:sz w:val="24"/>
        </w:rPr>
        <w:t xml:space="preserve">La mise à disposition de l’emplacement se fera à compter </w:t>
      </w:r>
      <w:r w:rsidR="001B66DD" w:rsidRPr="002967DC">
        <w:rPr>
          <w:rFonts w:ascii="Arial" w:hAnsi="Arial" w:cs="Arial"/>
          <w:bCs/>
          <w:color w:val="000000"/>
          <w:sz w:val="24"/>
        </w:rPr>
        <w:t>d</w:t>
      </w:r>
      <w:r w:rsidR="001B66DD">
        <w:rPr>
          <w:rFonts w:ascii="Arial" w:hAnsi="Arial" w:cs="Arial"/>
          <w:bCs/>
          <w:color w:val="000000"/>
          <w:sz w:val="24"/>
        </w:rPr>
        <w:t>’avril</w:t>
      </w:r>
      <w:r w:rsidRPr="002967DC">
        <w:rPr>
          <w:rFonts w:ascii="Arial" w:hAnsi="Arial" w:cs="Arial"/>
          <w:color w:val="000000"/>
          <w:sz w:val="24"/>
        </w:rPr>
        <w:t xml:space="preserve"> 202</w:t>
      </w:r>
      <w:r w:rsidR="005F642F">
        <w:rPr>
          <w:rFonts w:ascii="Arial" w:hAnsi="Arial" w:cs="Arial"/>
          <w:color w:val="000000"/>
          <w:sz w:val="24"/>
        </w:rPr>
        <w:t>4</w:t>
      </w:r>
      <w:r w:rsidRPr="002967DC">
        <w:rPr>
          <w:rFonts w:ascii="Arial" w:hAnsi="Arial" w:cs="Arial"/>
          <w:color w:val="000000"/>
          <w:sz w:val="24"/>
        </w:rPr>
        <w:t>.</w:t>
      </w:r>
    </w:p>
    <w:p w14:paraId="02A368E9" w14:textId="66C07358" w:rsidR="00F64919" w:rsidRPr="00AE0EA6" w:rsidRDefault="002853DF" w:rsidP="00A266C3">
      <w:pPr>
        <w:rPr>
          <w:rFonts w:ascii="Arial" w:hAnsi="Arial" w:cs="Arial"/>
          <w:sz w:val="24"/>
          <w:szCs w:val="24"/>
        </w:rPr>
      </w:pPr>
      <w:r w:rsidRPr="00876B77">
        <w:rPr>
          <w:rFonts w:ascii="Arial" w:hAnsi="Arial" w:cs="Arial"/>
          <w:sz w:val="24"/>
          <w:szCs w:val="24"/>
        </w:rPr>
        <w:t xml:space="preserve">Les candidatures et les offres doivent être </w:t>
      </w:r>
      <w:r w:rsidRPr="00AE0EA6">
        <w:rPr>
          <w:rFonts w:ascii="Arial" w:hAnsi="Arial" w:cs="Arial"/>
          <w:sz w:val="24"/>
          <w:szCs w:val="24"/>
        </w:rPr>
        <w:t>remise</w:t>
      </w:r>
      <w:r w:rsidR="00E04319" w:rsidRPr="00AE0EA6">
        <w:rPr>
          <w:rFonts w:ascii="Arial" w:hAnsi="Arial" w:cs="Arial"/>
          <w:sz w:val="24"/>
          <w:szCs w:val="24"/>
        </w:rPr>
        <w:t>s</w:t>
      </w:r>
      <w:r w:rsidRPr="00AE0EA6">
        <w:rPr>
          <w:rFonts w:ascii="Arial" w:hAnsi="Arial" w:cs="Arial"/>
          <w:sz w:val="24"/>
          <w:szCs w:val="24"/>
        </w:rPr>
        <w:t xml:space="preserve"> selon le format précisé dans les documents de la consultation </w:t>
      </w:r>
      <w:r w:rsidR="00E04319" w:rsidRPr="00AE0EA6">
        <w:rPr>
          <w:rFonts w:ascii="Arial" w:hAnsi="Arial" w:cs="Arial"/>
          <w:sz w:val="24"/>
          <w:szCs w:val="24"/>
        </w:rPr>
        <w:t>disponible sur la page Internet ci-dess</w:t>
      </w:r>
      <w:r w:rsidR="00AE0EA6">
        <w:rPr>
          <w:rFonts w:ascii="Arial" w:hAnsi="Arial" w:cs="Arial"/>
          <w:sz w:val="24"/>
          <w:szCs w:val="24"/>
        </w:rPr>
        <w:t>o</w:t>
      </w:r>
      <w:r w:rsidR="00E04319" w:rsidRPr="00AE0EA6">
        <w:rPr>
          <w:rFonts w:ascii="Arial" w:hAnsi="Arial" w:cs="Arial"/>
          <w:sz w:val="24"/>
          <w:szCs w:val="24"/>
        </w:rPr>
        <w:t xml:space="preserve">us </w:t>
      </w:r>
      <w:r w:rsidRPr="00AE0EA6">
        <w:rPr>
          <w:rFonts w:ascii="Arial" w:hAnsi="Arial" w:cs="Arial"/>
          <w:sz w:val="24"/>
          <w:szCs w:val="24"/>
        </w:rPr>
        <w:t xml:space="preserve">avant le </w:t>
      </w:r>
      <w:r w:rsidR="001B66DD">
        <w:rPr>
          <w:rFonts w:ascii="Arial" w:hAnsi="Arial" w:cs="Arial"/>
          <w:sz w:val="24"/>
          <w:szCs w:val="24"/>
        </w:rPr>
        <w:t>11 février</w:t>
      </w:r>
      <w:r w:rsidR="00C9726F">
        <w:rPr>
          <w:rFonts w:ascii="Arial" w:hAnsi="Arial" w:cs="Arial"/>
          <w:sz w:val="24"/>
          <w:szCs w:val="24"/>
        </w:rPr>
        <w:t xml:space="preserve"> 2024</w:t>
      </w:r>
      <w:r w:rsidRPr="00AE0EA6">
        <w:rPr>
          <w:rFonts w:ascii="Arial" w:hAnsi="Arial" w:cs="Arial"/>
          <w:sz w:val="24"/>
          <w:szCs w:val="24"/>
        </w:rPr>
        <w:t xml:space="preserve"> à 1</w:t>
      </w:r>
      <w:r w:rsidR="002967DC">
        <w:rPr>
          <w:rFonts w:ascii="Arial" w:hAnsi="Arial" w:cs="Arial"/>
          <w:sz w:val="24"/>
          <w:szCs w:val="24"/>
        </w:rPr>
        <w:t>2</w:t>
      </w:r>
      <w:r w:rsidRPr="00AE0EA6">
        <w:rPr>
          <w:rFonts w:ascii="Arial" w:hAnsi="Arial" w:cs="Arial"/>
          <w:sz w:val="24"/>
          <w:szCs w:val="24"/>
        </w:rPr>
        <w:t xml:space="preserve">h00 (heure La Réunion). </w:t>
      </w:r>
    </w:p>
    <w:p w14:paraId="51FC6153" w14:textId="77777777" w:rsidR="00073038" w:rsidRPr="00AE0EA6" w:rsidRDefault="00073038" w:rsidP="00073038">
      <w:pPr>
        <w:rPr>
          <w:rFonts w:ascii="Arial" w:hAnsi="Arial" w:cs="Arial"/>
          <w:sz w:val="24"/>
          <w:szCs w:val="24"/>
        </w:rPr>
      </w:pPr>
      <w:r w:rsidRPr="00AE0EA6">
        <w:rPr>
          <w:rFonts w:ascii="Arial" w:hAnsi="Arial" w:cs="Arial"/>
          <w:sz w:val="24"/>
          <w:szCs w:val="24"/>
        </w:rPr>
        <w:t xml:space="preserve">Le périmètre, la durée, le contenu et les éléments structurants des lots – ainsi que les modalités de dépôt des propositions par les candidats sont librement accessibles sur la page Internet suivante : </w:t>
      </w:r>
    </w:p>
    <w:commentRangeStart w:id="2"/>
    <w:p w14:paraId="5A2E8D36" w14:textId="77777777" w:rsidR="00073038" w:rsidRPr="002967DC" w:rsidRDefault="005F642F" w:rsidP="00073038">
      <w:pPr>
        <w:jc w:val="center"/>
        <w:rPr>
          <w:rFonts w:ascii="Arial" w:hAnsi="Arial" w:cs="Arial"/>
          <w:color w:val="FFFF00"/>
          <w:sz w:val="24"/>
          <w:szCs w:val="24"/>
        </w:rPr>
      </w:pPr>
      <w:r w:rsidRPr="002967DC">
        <w:rPr>
          <w:color w:val="FFFF00"/>
        </w:rPr>
        <w:fldChar w:fldCharType="begin"/>
      </w:r>
      <w:r w:rsidRPr="002967DC">
        <w:rPr>
          <w:color w:val="FFFF00"/>
        </w:rPr>
        <w:instrText xml:space="preserve"> HYPERLINK "https://webmail.tco.re/owa/redir.aspx?C=qKBmgrlu2JCKd0fCsKj-cs2xT3ikVetWRAMA0BdHwBdCZZOgXBTZCA..&amp;URL=https%3a%2f%2fwww.tco.re%2fplaisance%2faot%2f" \t "_blank" </w:instrText>
      </w:r>
      <w:r w:rsidRPr="002967DC">
        <w:rPr>
          <w:color w:val="FFFF00"/>
        </w:rPr>
        <w:fldChar w:fldCharType="separate"/>
      </w:r>
      <w:r w:rsidR="00073038" w:rsidRPr="002967DC">
        <w:rPr>
          <w:rFonts w:ascii="Arial" w:hAnsi="Arial" w:cs="Arial"/>
          <w:color w:val="FFFF00"/>
          <w:sz w:val="24"/>
          <w:szCs w:val="24"/>
          <w:u w:val="single"/>
        </w:rPr>
        <w:t>https://www.tco.re/plaisance/aot/</w:t>
      </w:r>
      <w:r w:rsidRPr="002967DC">
        <w:rPr>
          <w:rFonts w:ascii="Arial" w:hAnsi="Arial" w:cs="Arial"/>
          <w:color w:val="FFFF00"/>
          <w:sz w:val="24"/>
          <w:szCs w:val="24"/>
          <w:u w:val="single"/>
        </w:rPr>
        <w:fldChar w:fldCharType="end"/>
      </w:r>
      <w:commentRangeEnd w:id="2"/>
      <w:r>
        <w:rPr>
          <w:rStyle w:val="Marquedecommentaire"/>
        </w:rPr>
        <w:commentReference w:id="2"/>
      </w:r>
    </w:p>
    <w:p w14:paraId="46EC3C37" w14:textId="77777777" w:rsidR="002853DF" w:rsidRPr="00AE0EA6" w:rsidRDefault="002853DF" w:rsidP="00A266C3">
      <w:pPr>
        <w:rPr>
          <w:rFonts w:ascii="Arial" w:hAnsi="Arial" w:cs="Arial"/>
          <w:sz w:val="24"/>
          <w:szCs w:val="24"/>
        </w:rPr>
      </w:pPr>
    </w:p>
    <w:sectPr w:rsidR="002853DF" w:rsidRPr="00AE0EA6" w:rsidSect="00127FC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Cédric Lotz" w:date="2023-11-02T08:47:00Z" w:initials="CL">
    <w:p w14:paraId="6F3782C7" w14:textId="35011AB8" w:rsidR="005F642F" w:rsidRDefault="005F642F">
      <w:pPr>
        <w:pStyle w:val="Commentaire"/>
      </w:pPr>
      <w:r>
        <w:rPr>
          <w:rStyle w:val="Marquedecommentaire"/>
        </w:rPr>
        <w:annotationRef/>
      </w:r>
      <w:r>
        <w:t>Lien à modifier suite publication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3782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3782C7" w16cid:durableId="28EDE0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9.25pt;height:116.25pt" o:bullet="t">
        <v:imagedata r:id="rId1" o:title="Rond bleu Fleche Bleue"/>
      </v:shape>
    </w:pict>
  </w:numPicBullet>
  <w:numPicBullet w:numPicBulletId="1">
    <w:pict>
      <v:shape id="_x0000_i1029" type="#_x0000_t75" style="width:310.5pt;height:276.75pt" o:bullet="t">
        <v:imagedata r:id="rId2" o:title="Goutte Bleu Gris"/>
      </v:shape>
    </w:pict>
  </w:numPicBullet>
  <w:abstractNum w:abstractNumId="0" w15:restartNumberingAfterBreak="0">
    <w:nsid w:val="FFFFFF82"/>
    <w:multiLevelType w:val="singleLevel"/>
    <w:tmpl w:val="B35687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B42C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508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46BB6"/>
    <w:multiLevelType w:val="hybridMultilevel"/>
    <w:tmpl w:val="BBDEE552"/>
    <w:lvl w:ilvl="0" w:tplc="FF98EEE8">
      <w:start w:val="1"/>
      <w:numFmt w:val="bullet"/>
      <w:pStyle w:val="EmphasePuces"/>
      <w:lvlText w:val=""/>
      <w:lvlJc w:val="left"/>
      <w:pPr>
        <w:ind w:left="720" w:hanging="360"/>
      </w:pPr>
      <w:rPr>
        <w:rFonts w:ascii="Symbol" w:hAnsi="Symbol" w:hint="default"/>
        <w:color w:val="69AE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45E6"/>
    <w:multiLevelType w:val="multilevel"/>
    <w:tmpl w:val="3A3EB2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space"/>
      <w:lvlText w:val=""/>
      <w:lvlJc w:val="left"/>
      <w:pPr>
        <w:ind w:left="340" w:hanging="340"/>
      </w:pPr>
      <w:rPr>
        <w:rFonts w:ascii="Wingdings" w:hAnsi="Wingdings" w:hint="default"/>
        <w:color w:val="1F549E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  <w:color w:val="1F549E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  <w:color w:val="1F549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  <w:color w:val="1F549E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  <w:color w:val="1F549E"/>
      </w:rPr>
    </w:lvl>
  </w:abstractNum>
  <w:abstractNum w:abstractNumId="5" w15:restartNumberingAfterBreak="0">
    <w:nsid w:val="1B5A14F0"/>
    <w:multiLevelType w:val="multilevel"/>
    <w:tmpl w:val="C7C8BE2C"/>
    <w:lvl w:ilvl="0">
      <w:start w:val="1"/>
      <w:numFmt w:val="decimal"/>
      <w:pStyle w:val="Titre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bullet"/>
      <w:pStyle w:val="Titre5"/>
      <w:lvlText w:val=""/>
      <w:lvlPicBulletId w:val="0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0E52726"/>
    <w:multiLevelType w:val="hybridMultilevel"/>
    <w:tmpl w:val="0D4ECA0E"/>
    <w:lvl w:ilvl="0" w:tplc="36A488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57BD"/>
    <w:multiLevelType w:val="hybridMultilevel"/>
    <w:tmpl w:val="36D27E9E"/>
    <w:lvl w:ilvl="0" w:tplc="EB468E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01866"/>
    <w:multiLevelType w:val="multilevel"/>
    <w:tmpl w:val="3D3A4D6E"/>
    <w:lvl w:ilvl="0">
      <w:start w:val="1"/>
      <w:numFmt w:val="decimal"/>
      <w:pStyle w:val="AnnexeTitre1"/>
      <w:suff w:val="space"/>
      <w:lvlText w:val="Annex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eTitre2"/>
      <w:suff w:val="space"/>
      <w:lvlText w:val="Annexe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17E1E23"/>
    <w:multiLevelType w:val="multilevel"/>
    <w:tmpl w:val="925EB716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69AEC4" w:themeColor="accent1"/>
      </w:rPr>
    </w:lvl>
    <w:lvl w:ilvl="1">
      <w:start w:val="1"/>
      <w:numFmt w:val="bullet"/>
      <w:lvlText w:val="o"/>
      <w:lvlJc w:val="left"/>
      <w:pPr>
        <w:ind w:left="426" w:hanging="142"/>
      </w:pPr>
      <w:rPr>
        <w:rFonts w:ascii="Courier New" w:hAnsi="Courier New" w:hint="default"/>
        <w:color w:val="69AEC4" w:themeColor="accent1"/>
      </w:rPr>
    </w:lvl>
    <w:lvl w:ilvl="2">
      <w:start w:val="1"/>
      <w:numFmt w:val="bullet"/>
      <w:lvlText w:val=""/>
      <w:lvlJc w:val="left"/>
      <w:pPr>
        <w:ind w:left="568" w:hanging="142"/>
      </w:pPr>
      <w:rPr>
        <w:rFonts w:ascii="Wingdings" w:hAnsi="Wingdings" w:hint="default"/>
        <w:color w:val="69AEC4" w:themeColor="accent1"/>
      </w:rPr>
    </w:lvl>
    <w:lvl w:ilvl="3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69AEC4" w:themeColor="accent1"/>
      </w:rPr>
    </w:lvl>
    <w:lvl w:ilvl="4">
      <w:start w:val="1"/>
      <w:numFmt w:val="bullet"/>
      <w:lvlText w:val="o"/>
      <w:lvlJc w:val="left"/>
      <w:pPr>
        <w:ind w:left="852" w:hanging="142"/>
      </w:pPr>
      <w:rPr>
        <w:rFonts w:ascii="Courier New" w:hAnsi="Courier New" w:hint="default"/>
        <w:color w:val="69AEC4" w:themeColor="accent1"/>
      </w:rPr>
    </w:lvl>
    <w:lvl w:ilvl="5">
      <w:start w:val="1"/>
      <w:numFmt w:val="bullet"/>
      <w:lvlText w:val=""/>
      <w:lvlJc w:val="left"/>
      <w:pPr>
        <w:ind w:left="994" w:hanging="142"/>
      </w:pPr>
      <w:rPr>
        <w:rFonts w:ascii="Wingdings" w:hAnsi="Wingdings" w:hint="default"/>
        <w:color w:val="69AEC4" w:themeColor="accent1"/>
      </w:rPr>
    </w:lvl>
    <w:lvl w:ilvl="6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  <w:color w:val="69AEC4" w:themeColor="accent1"/>
      </w:rPr>
    </w:lvl>
    <w:lvl w:ilvl="7">
      <w:start w:val="1"/>
      <w:numFmt w:val="bullet"/>
      <w:lvlText w:val="o"/>
      <w:lvlJc w:val="left"/>
      <w:pPr>
        <w:ind w:left="1278" w:hanging="142"/>
      </w:pPr>
      <w:rPr>
        <w:rFonts w:ascii="Courier New" w:hAnsi="Courier New" w:hint="default"/>
        <w:color w:val="69AEC4" w:themeColor="accent1"/>
      </w:rPr>
    </w:lvl>
    <w:lvl w:ilvl="8">
      <w:start w:val="1"/>
      <w:numFmt w:val="bullet"/>
      <w:lvlText w:val=""/>
      <w:lvlJc w:val="left"/>
      <w:pPr>
        <w:ind w:left="1420" w:hanging="142"/>
      </w:pPr>
      <w:rPr>
        <w:rFonts w:ascii="Wingdings" w:hAnsi="Wingdings" w:hint="default"/>
        <w:color w:val="69AEC4" w:themeColor="accent1"/>
      </w:rPr>
    </w:lvl>
  </w:abstractNum>
  <w:abstractNum w:abstractNumId="10" w15:restartNumberingAfterBreak="0">
    <w:nsid w:val="55DC131B"/>
    <w:multiLevelType w:val="multilevel"/>
    <w:tmpl w:val="E4A059D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8E3696"/>
    <w:multiLevelType w:val="multilevel"/>
    <w:tmpl w:val="925EB716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69AEC4" w:themeColor="accent1"/>
      </w:rPr>
    </w:lvl>
    <w:lvl w:ilvl="1">
      <w:start w:val="1"/>
      <w:numFmt w:val="bullet"/>
      <w:lvlText w:val="o"/>
      <w:lvlJc w:val="left"/>
      <w:pPr>
        <w:ind w:left="426" w:hanging="142"/>
      </w:pPr>
      <w:rPr>
        <w:rFonts w:ascii="Courier New" w:hAnsi="Courier New" w:hint="default"/>
        <w:color w:val="69AEC4" w:themeColor="accent1"/>
      </w:rPr>
    </w:lvl>
    <w:lvl w:ilvl="2">
      <w:start w:val="1"/>
      <w:numFmt w:val="bullet"/>
      <w:lvlText w:val=""/>
      <w:lvlJc w:val="left"/>
      <w:pPr>
        <w:ind w:left="568" w:hanging="142"/>
      </w:pPr>
      <w:rPr>
        <w:rFonts w:ascii="Wingdings" w:hAnsi="Wingdings" w:hint="default"/>
        <w:color w:val="69AEC4" w:themeColor="accent1"/>
      </w:rPr>
    </w:lvl>
    <w:lvl w:ilvl="3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69AEC4" w:themeColor="accent1"/>
      </w:rPr>
    </w:lvl>
    <w:lvl w:ilvl="4">
      <w:start w:val="1"/>
      <w:numFmt w:val="bullet"/>
      <w:lvlText w:val="o"/>
      <w:lvlJc w:val="left"/>
      <w:pPr>
        <w:ind w:left="852" w:hanging="142"/>
      </w:pPr>
      <w:rPr>
        <w:rFonts w:ascii="Courier New" w:hAnsi="Courier New" w:hint="default"/>
        <w:color w:val="69AEC4" w:themeColor="accent1"/>
      </w:rPr>
    </w:lvl>
    <w:lvl w:ilvl="5">
      <w:start w:val="1"/>
      <w:numFmt w:val="bullet"/>
      <w:lvlText w:val=""/>
      <w:lvlJc w:val="left"/>
      <w:pPr>
        <w:ind w:left="994" w:hanging="142"/>
      </w:pPr>
      <w:rPr>
        <w:rFonts w:ascii="Wingdings" w:hAnsi="Wingdings" w:hint="default"/>
        <w:color w:val="69AEC4" w:themeColor="accent1"/>
      </w:rPr>
    </w:lvl>
    <w:lvl w:ilvl="6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  <w:color w:val="69AEC4" w:themeColor="accent1"/>
      </w:rPr>
    </w:lvl>
    <w:lvl w:ilvl="7">
      <w:start w:val="1"/>
      <w:numFmt w:val="bullet"/>
      <w:lvlText w:val="o"/>
      <w:lvlJc w:val="left"/>
      <w:pPr>
        <w:ind w:left="1278" w:hanging="142"/>
      </w:pPr>
      <w:rPr>
        <w:rFonts w:ascii="Courier New" w:hAnsi="Courier New" w:hint="default"/>
        <w:color w:val="69AEC4" w:themeColor="accent1"/>
      </w:rPr>
    </w:lvl>
    <w:lvl w:ilvl="8">
      <w:start w:val="1"/>
      <w:numFmt w:val="bullet"/>
      <w:lvlText w:val=""/>
      <w:lvlJc w:val="left"/>
      <w:pPr>
        <w:ind w:left="1420" w:hanging="142"/>
      </w:pPr>
      <w:rPr>
        <w:rFonts w:ascii="Wingdings" w:hAnsi="Wingdings" w:hint="default"/>
        <w:color w:val="69AEC4" w:themeColor="accent1"/>
      </w:rPr>
    </w:lvl>
  </w:abstractNum>
  <w:abstractNum w:abstractNumId="12" w15:restartNumberingAfterBreak="0">
    <w:nsid w:val="6ADA6B87"/>
    <w:multiLevelType w:val="hybridMultilevel"/>
    <w:tmpl w:val="F9D63E38"/>
    <w:lvl w:ilvl="0" w:tplc="A44433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46959"/>
    <w:multiLevelType w:val="multilevel"/>
    <w:tmpl w:val="D9147F8A"/>
    <w:lvl w:ilvl="0">
      <w:start w:val="1"/>
      <w:numFmt w:val="bullet"/>
      <w:pStyle w:val="Listepuces"/>
      <w:lvlText w:val=""/>
      <w:lvlJc w:val="left"/>
      <w:pPr>
        <w:ind w:left="567" w:hanging="283"/>
      </w:pPr>
      <w:rPr>
        <w:rFonts w:ascii="Symbol" w:hAnsi="Symbol" w:hint="default"/>
        <w:color w:val="69AEC4" w:themeColor="accent1"/>
      </w:rPr>
    </w:lvl>
    <w:lvl w:ilvl="1">
      <w:start w:val="1"/>
      <w:numFmt w:val="bullet"/>
      <w:pStyle w:val="Listepuces2"/>
      <w:lvlText w:val="o"/>
      <w:lvlJc w:val="left"/>
      <w:pPr>
        <w:ind w:left="1134" w:hanging="283"/>
      </w:pPr>
      <w:rPr>
        <w:rFonts w:ascii="Courier New" w:hAnsi="Courier New" w:hint="default"/>
        <w:color w:val="69AEC4" w:themeColor="accent1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69AEC4" w:themeColor="accent1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69AEC4" w:themeColor="accent1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69AEC4" w:themeColor="accent1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69AEC4" w:themeColor="accent1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69AEC4" w:themeColor="accent1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69AEC4" w:themeColor="accent1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69AEC4" w:themeColor="accent1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13"/>
  </w:num>
  <w:num w:numId="9">
    <w:abstractNumId w:val="0"/>
  </w:num>
  <w:num w:numId="10">
    <w:abstractNumId w:val="13"/>
  </w:num>
  <w:num w:numId="11">
    <w:abstractNumId w:val="8"/>
  </w:num>
  <w:num w:numId="12">
    <w:abstractNumId w:val="8"/>
  </w:num>
  <w:num w:numId="13">
    <w:abstractNumId w:val="5"/>
  </w:num>
  <w:num w:numId="14">
    <w:abstractNumId w:val="5"/>
  </w:num>
  <w:num w:numId="15">
    <w:abstractNumId w:val="5"/>
  </w:num>
  <w:num w:numId="16">
    <w:abstractNumId w:val="8"/>
  </w:num>
  <w:num w:numId="17">
    <w:abstractNumId w:val="5"/>
  </w:num>
  <w:num w:numId="18">
    <w:abstractNumId w:val="13"/>
  </w:num>
  <w:num w:numId="19">
    <w:abstractNumId w:val="13"/>
  </w:num>
  <w:num w:numId="20">
    <w:abstractNumId w:val="13"/>
  </w:num>
  <w:num w:numId="21">
    <w:abstractNumId w:val="8"/>
  </w:num>
  <w:num w:numId="22">
    <w:abstractNumId w:val="8"/>
  </w:num>
  <w:num w:numId="23">
    <w:abstractNumId w:val="12"/>
  </w:num>
  <w:num w:numId="24">
    <w:abstractNumId w:val="6"/>
  </w:num>
  <w:num w:numId="25">
    <w:abstractNumId w:val="10"/>
  </w:num>
  <w:num w:numId="26">
    <w:abstractNumId w:val="11"/>
  </w:num>
  <w:num w:numId="27">
    <w:abstractNumId w:val="9"/>
  </w:num>
  <w:num w:numId="28">
    <w:abstractNumId w:val="3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édric Lotz">
    <w15:presenceInfo w15:providerId="AD" w15:userId="S-1-5-21-4085007809-663791015-3220630848-13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19"/>
    <w:rsid w:val="00020CC0"/>
    <w:rsid w:val="00035814"/>
    <w:rsid w:val="00036DE1"/>
    <w:rsid w:val="00073038"/>
    <w:rsid w:val="00096554"/>
    <w:rsid w:val="000D7DB6"/>
    <w:rsid w:val="000E7535"/>
    <w:rsid w:val="00114069"/>
    <w:rsid w:val="00114858"/>
    <w:rsid w:val="00127FCD"/>
    <w:rsid w:val="00133723"/>
    <w:rsid w:val="00146A3A"/>
    <w:rsid w:val="00182E3C"/>
    <w:rsid w:val="001B66DD"/>
    <w:rsid w:val="00205E2A"/>
    <w:rsid w:val="002853DF"/>
    <w:rsid w:val="002912F0"/>
    <w:rsid w:val="002967DC"/>
    <w:rsid w:val="002C060E"/>
    <w:rsid w:val="002F140B"/>
    <w:rsid w:val="002F4550"/>
    <w:rsid w:val="00350D1D"/>
    <w:rsid w:val="00363FD0"/>
    <w:rsid w:val="0037713E"/>
    <w:rsid w:val="003A4998"/>
    <w:rsid w:val="003B7B6C"/>
    <w:rsid w:val="003E720E"/>
    <w:rsid w:val="00404CA8"/>
    <w:rsid w:val="00476A66"/>
    <w:rsid w:val="00484E58"/>
    <w:rsid w:val="004F219A"/>
    <w:rsid w:val="00514A77"/>
    <w:rsid w:val="00524AB7"/>
    <w:rsid w:val="00540EF0"/>
    <w:rsid w:val="00573442"/>
    <w:rsid w:val="005A4C69"/>
    <w:rsid w:val="005B184E"/>
    <w:rsid w:val="005C3F76"/>
    <w:rsid w:val="005F642F"/>
    <w:rsid w:val="00604A4B"/>
    <w:rsid w:val="00681D80"/>
    <w:rsid w:val="006D3DDE"/>
    <w:rsid w:val="006E0465"/>
    <w:rsid w:val="006F1C53"/>
    <w:rsid w:val="00706D3C"/>
    <w:rsid w:val="00721E0E"/>
    <w:rsid w:val="00753965"/>
    <w:rsid w:val="00777F2F"/>
    <w:rsid w:val="007D2A16"/>
    <w:rsid w:val="007D4BAF"/>
    <w:rsid w:val="007F36A1"/>
    <w:rsid w:val="00876B77"/>
    <w:rsid w:val="0091463E"/>
    <w:rsid w:val="009245C5"/>
    <w:rsid w:val="009307BC"/>
    <w:rsid w:val="00970219"/>
    <w:rsid w:val="009A5680"/>
    <w:rsid w:val="009C0AB9"/>
    <w:rsid w:val="00A03367"/>
    <w:rsid w:val="00A236C3"/>
    <w:rsid w:val="00A266C3"/>
    <w:rsid w:val="00A72678"/>
    <w:rsid w:val="00A97051"/>
    <w:rsid w:val="00AA3DEA"/>
    <w:rsid w:val="00AC4441"/>
    <w:rsid w:val="00AE0EA6"/>
    <w:rsid w:val="00AE2350"/>
    <w:rsid w:val="00AF2EE6"/>
    <w:rsid w:val="00B03F95"/>
    <w:rsid w:val="00B3767F"/>
    <w:rsid w:val="00B56938"/>
    <w:rsid w:val="00B721C9"/>
    <w:rsid w:val="00B74F43"/>
    <w:rsid w:val="00B9516B"/>
    <w:rsid w:val="00BC4B71"/>
    <w:rsid w:val="00C12899"/>
    <w:rsid w:val="00C9726F"/>
    <w:rsid w:val="00CA7BC3"/>
    <w:rsid w:val="00D73301"/>
    <w:rsid w:val="00D75728"/>
    <w:rsid w:val="00DC2FED"/>
    <w:rsid w:val="00DC3EB8"/>
    <w:rsid w:val="00DD0D0C"/>
    <w:rsid w:val="00DD3014"/>
    <w:rsid w:val="00E020A4"/>
    <w:rsid w:val="00E04319"/>
    <w:rsid w:val="00E32705"/>
    <w:rsid w:val="00E44DDD"/>
    <w:rsid w:val="00EB29DA"/>
    <w:rsid w:val="00EE072E"/>
    <w:rsid w:val="00EE149A"/>
    <w:rsid w:val="00F64919"/>
    <w:rsid w:val="00F749B9"/>
    <w:rsid w:val="00F75304"/>
    <w:rsid w:val="00FC2E80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2D7D"/>
  <w15:docId w15:val="{45A0FFFD-F4AF-477F-B3DF-959B0B85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w w:val="90"/>
        <w:lang w:val="fr-F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F76"/>
  </w:style>
  <w:style w:type="paragraph" w:styleId="Titre1">
    <w:name w:val="heading 1"/>
    <w:basedOn w:val="Normal"/>
    <w:next w:val="Normal"/>
    <w:link w:val="Titre1Car"/>
    <w:uiPriority w:val="1"/>
    <w:qFormat/>
    <w:rsid w:val="0037713E"/>
    <w:pPr>
      <w:pageBreakBefore/>
      <w:numPr>
        <w:numId w:val="17"/>
      </w:numPr>
      <w:suppressAutoHyphens/>
      <w:spacing w:line="312" w:lineRule="auto"/>
      <w:jc w:val="left"/>
      <w:outlineLvl w:val="0"/>
    </w:pPr>
    <w:rPr>
      <w:caps/>
      <w:color w:val="4B4644" w:themeColor="text2"/>
      <w:spacing w:val="60"/>
      <w:sz w:val="44"/>
    </w:rPr>
  </w:style>
  <w:style w:type="paragraph" w:styleId="Titre2">
    <w:name w:val="heading 2"/>
    <w:basedOn w:val="Normal"/>
    <w:next w:val="Normal"/>
    <w:link w:val="Titre2Car"/>
    <w:uiPriority w:val="1"/>
    <w:qFormat/>
    <w:rsid w:val="0037713E"/>
    <w:pPr>
      <w:keepNext/>
      <w:numPr>
        <w:ilvl w:val="1"/>
        <w:numId w:val="17"/>
      </w:numPr>
      <w:suppressAutoHyphens/>
      <w:spacing w:before="360" w:after="240"/>
      <w:jc w:val="left"/>
      <w:outlineLvl w:val="1"/>
    </w:pPr>
    <w:rPr>
      <w:color w:val="3F89A1" w:themeColor="accent1" w:themeShade="BF"/>
      <w:w w:val="100"/>
      <w:sz w:val="28"/>
    </w:rPr>
  </w:style>
  <w:style w:type="paragraph" w:styleId="Titre3">
    <w:name w:val="heading 3"/>
    <w:basedOn w:val="Normal"/>
    <w:next w:val="Normal"/>
    <w:link w:val="Titre3Car"/>
    <w:uiPriority w:val="1"/>
    <w:qFormat/>
    <w:rsid w:val="0037713E"/>
    <w:pPr>
      <w:keepNext/>
      <w:numPr>
        <w:ilvl w:val="2"/>
        <w:numId w:val="17"/>
      </w:numPr>
      <w:suppressAutoHyphens/>
      <w:spacing w:before="240" w:after="240"/>
      <w:jc w:val="left"/>
      <w:outlineLvl w:val="2"/>
    </w:pPr>
    <w:rPr>
      <w:color w:val="4B4644" w:themeColor="text2"/>
      <w:w w:val="100"/>
      <w:sz w:val="24"/>
    </w:rPr>
  </w:style>
  <w:style w:type="paragraph" w:styleId="Titre4">
    <w:name w:val="heading 4"/>
    <w:basedOn w:val="Normal"/>
    <w:next w:val="Normal"/>
    <w:link w:val="Titre4Car"/>
    <w:uiPriority w:val="1"/>
    <w:qFormat/>
    <w:rsid w:val="00706D3C"/>
    <w:pPr>
      <w:keepNext/>
      <w:numPr>
        <w:ilvl w:val="3"/>
        <w:numId w:val="17"/>
      </w:numPr>
      <w:spacing w:before="240" w:after="240"/>
      <w:jc w:val="left"/>
      <w:outlineLvl w:val="3"/>
    </w:pPr>
    <w:rPr>
      <w:i/>
      <w:color w:val="4B4644" w:themeColor="text2"/>
      <w:w w:val="10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1"/>
    <w:qFormat/>
    <w:rsid w:val="00706D3C"/>
    <w:pPr>
      <w:keepNext/>
      <w:numPr>
        <w:ilvl w:val="4"/>
        <w:numId w:val="17"/>
      </w:numPr>
      <w:spacing w:before="180"/>
      <w:jc w:val="left"/>
      <w:outlineLvl w:val="4"/>
    </w:pPr>
    <w:rPr>
      <w:smallCaps/>
      <w:w w:val="1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Citation"/>
    <w:next w:val="Citation"/>
    <w:link w:val="CitationintenseCar"/>
    <w:uiPriority w:val="30"/>
    <w:rsid w:val="005C3F76"/>
    <w:rPr>
      <w:b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3F76"/>
    <w:rPr>
      <w:b/>
      <w:i/>
      <w:w w:val="90"/>
    </w:rPr>
  </w:style>
  <w:style w:type="character" w:customStyle="1" w:styleId="Titre1Car">
    <w:name w:val="Titre 1 Car"/>
    <w:basedOn w:val="Policepardfaut"/>
    <w:link w:val="Titre1"/>
    <w:uiPriority w:val="1"/>
    <w:rsid w:val="0037713E"/>
    <w:rPr>
      <w:caps/>
      <w:color w:val="4B4644" w:themeColor="text2"/>
      <w:spacing w:val="60"/>
      <w:w w:val="90"/>
      <w:sz w:val="44"/>
    </w:rPr>
  </w:style>
  <w:style w:type="paragraph" w:customStyle="1" w:styleId="Emphase">
    <w:name w:val="Emphase"/>
    <w:basedOn w:val="Normal"/>
    <w:link w:val="EmphaseCar"/>
    <w:uiPriority w:val="3"/>
    <w:qFormat/>
    <w:rsid w:val="0037713E"/>
    <w:pPr>
      <w:pBdr>
        <w:top w:val="single" w:sz="8" w:space="5" w:color="69AEC4" w:themeColor="accent1"/>
        <w:left w:val="single" w:sz="8" w:space="5" w:color="69AEC4" w:themeColor="accent1"/>
        <w:bottom w:val="single" w:sz="8" w:space="5" w:color="69AEC4" w:themeColor="accent1"/>
        <w:right w:val="single" w:sz="8" w:space="5" w:color="69AEC4" w:themeColor="accent1"/>
      </w:pBdr>
      <w:shd w:val="clear" w:color="auto" w:fill="F2F2F2" w:themeFill="background1" w:themeFillShade="F2"/>
      <w:ind w:left="142" w:right="140"/>
    </w:pPr>
    <w:rPr>
      <w:b/>
      <w:color w:val="4B4644" w:themeColor="text2"/>
    </w:rPr>
  </w:style>
  <w:style w:type="character" w:customStyle="1" w:styleId="EmphaseCar">
    <w:name w:val="Emphase Car"/>
    <w:basedOn w:val="Policepardfaut"/>
    <w:link w:val="Emphase"/>
    <w:uiPriority w:val="3"/>
    <w:rsid w:val="0037713E"/>
    <w:rPr>
      <w:b/>
      <w:color w:val="4B4644" w:themeColor="text2"/>
      <w:w w:val="90"/>
      <w:shd w:val="clear" w:color="auto" w:fill="F2F2F2" w:themeFill="background1" w:themeFillShade="F2"/>
    </w:rPr>
  </w:style>
  <w:style w:type="character" w:customStyle="1" w:styleId="Titre2Car">
    <w:name w:val="Titre 2 Car"/>
    <w:basedOn w:val="Policepardfaut"/>
    <w:link w:val="Titre2"/>
    <w:uiPriority w:val="1"/>
    <w:rsid w:val="0037713E"/>
    <w:rPr>
      <w:color w:val="3F89A1" w:themeColor="accent1" w:themeShade="BF"/>
      <w:sz w:val="28"/>
    </w:rPr>
  </w:style>
  <w:style w:type="character" w:customStyle="1" w:styleId="Titre3Car">
    <w:name w:val="Titre 3 Car"/>
    <w:basedOn w:val="Policepardfaut"/>
    <w:link w:val="Titre3"/>
    <w:uiPriority w:val="1"/>
    <w:rsid w:val="0037713E"/>
    <w:rPr>
      <w:color w:val="4B4644" w:themeColor="text2"/>
      <w:sz w:val="24"/>
    </w:rPr>
  </w:style>
  <w:style w:type="character" w:customStyle="1" w:styleId="Titre4Car">
    <w:name w:val="Titre 4 Car"/>
    <w:basedOn w:val="Policepardfaut"/>
    <w:link w:val="Titre4"/>
    <w:uiPriority w:val="1"/>
    <w:rsid w:val="00706D3C"/>
    <w:rPr>
      <w:i/>
      <w:color w:val="4B4644" w:themeColor="text2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1"/>
    <w:rsid w:val="00706D3C"/>
    <w:rPr>
      <w:smallCaps/>
    </w:rPr>
  </w:style>
  <w:style w:type="paragraph" w:styleId="Lgende">
    <w:name w:val="caption"/>
    <w:basedOn w:val="Normal"/>
    <w:next w:val="Normal"/>
    <w:uiPriority w:val="35"/>
    <w:qFormat/>
    <w:rsid w:val="0037713E"/>
    <w:pPr>
      <w:jc w:val="center"/>
    </w:pPr>
    <w:rPr>
      <w:bCs/>
      <w:i/>
      <w:color w:val="69AEC4" w:themeColor="accent1"/>
      <w:w w:val="100"/>
      <w:sz w:val="18"/>
      <w:szCs w:val="18"/>
    </w:rPr>
  </w:style>
  <w:style w:type="paragraph" w:styleId="Listepuces">
    <w:name w:val="List Bullet"/>
    <w:basedOn w:val="Normal"/>
    <w:uiPriority w:val="2"/>
    <w:qFormat/>
    <w:rsid w:val="00127FCD"/>
    <w:pPr>
      <w:numPr>
        <w:numId w:val="6"/>
      </w:numPr>
    </w:pPr>
  </w:style>
  <w:style w:type="paragraph" w:styleId="Listepuces2">
    <w:name w:val="List Bullet 2"/>
    <w:basedOn w:val="Normal"/>
    <w:uiPriority w:val="2"/>
    <w:qFormat/>
    <w:rsid w:val="00127FCD"/>
    <w:pPr>
      <w:numPr>
        <w:ilvl w:val="1"/>
        <w:numId w:val="6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37713E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qFormat/>
    <w:rsid w:val="0037713E"/>
    <w:pPr>
      <w:numPr>
        <w:numId w:val="0"/>
      </w:numPr>
      <w:pBdr>
        <w:left w:val="single" w:sz="24" w:space="4" w:color="1F549E"/>
        <w:right w:val="single" w:sz="24" w:space="4" w:color="1F549E"/>
      </w:pBdr>
      <w:spacing w:after="0"/>
      <w:ind w:right="4820"/>
      <w:outlineLvl w:val="9"/>
    </w:pPr>
  </w:style>
  <w:style w:type="paragraph" w:customStyle="1" w:styleId="EmphasePuces">
    <w:name w:val="Emphase Puces"/>
    <w:basedOn w:val="Listepuces"/>
    <w:uiPriority w:val="3"/>
    <w:qFormat/>
    <w:rsid w:val="00E44DDD"/>
    <w:pPr>
      <w:numPr>
        <w:numId w:val="28"/>
      </w:numPr>
      <w:pBdr>
        <w:top w:val="single" w:sz="8" w:space="5" w:color="69AEC4" w:themeColor="accent1"/>
        <w:left w:val="single" w:sz="8" w:space="5" w:color="69AEC4" w:themeColor="accent1"/>
        <w:bottom w:val="single" w:sz="8" w:space="5" w:color="69AEC4" w:themeColor="accent1"/>
        <w:right w:val="single" w:sz="8" w:space="5" w:color="69AEC4" w:themeColor="accent1"/>
      </w:pBdr>
      <w:shd w:val="clear" w:color="auto" w:fill="F2F2F2" w:themeFill="background1" w:themeFillShade="F2"/>
      <w:tabs>
        <w:tab w:val="left" w:pos="426"/>
      </w:tabs>
      <w:ind w:left="142" w:right="140" w:firstLine="0"/>
    </w:pPr>
    <w:rPr>
      <w:b/>
      <w:color w:val="4B4644" w:themeColor="text2"/>
    </w:rPr>
  </w:style>
  <w:style w:type="paragraph" w:customStyle="1" w:styleId="AnnexeTitre1">
    <w:name w:val="Annexe Titre 1"/>
    <w:basedOn w:val="Titre1"/>
    <w:next w:val="Normal"/>
    <w:uiPriority w:val="2"/>
    <w:qFormat/>
    <w:rsid w:val="0037713E"/>
    <w:pPr>
      <w:numPr>
        <w:numId w:val="22"/>
      </w:numPr>
      <w:spacing w:before="4200" w:after="0"/>
    </w:pPr>
    <w:rPr>
      <w:sz w:val="56"/>
    </w:rPr>
  </w:style>
  <w:style w:type="paragraph" w:customStyle="1" w:styleId="AnnexeTitre2">
    <w:name w:val="Annexe Titre 2"/>
    <w:basedOn w:val="Titre2"/>
    <w:next w:val="Normal"/>
    <w:uiPriority w:val="2"/>
    <w:qFormat/>
    <w:rsid w:val="0037713E"/>
    <w:pPr>
      <w:pageBreakBefore/>
      <w:numPr>
        <w:numId w:val="22"/>
      </w:numPr>
    </w:pPr>
  </w:style>
  <w:style w:type="paragraph" w:styleId="Citation">
    <w:name w:val="Quote"/>
    <w:basedOn w:val="Normal"/>
    <w:link w:val="CitationCar"/>
    <w:uiPriority w:val="29"/>
    <w:qFormat/>
    <w:rsid w:val="002F4550"/>
    <w:pPr>
      <w:pBdr>
        <w:left w:val="single" w:sz="4" w:space="6" w:color="69AEC4" w:themeColor="accent1"/>
      </w:pBdr>
      <w:ind w:left="284"/>
      <w:contextualSpacing/>
    </w:pPr>
    <w:rPr>
      <w:i/>
      <w:color w:val="4B4644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2F4550"/>
    <w:rPr>
      <w:i/>
      <w:color w:val="4B4644" w:themeColor="text2"/>
      <w:w w:val="90"/>
    </w:rPr>
  </w:style>
  <w:style w:type="table" w:styleId="Grilledutableau">
    <w:name w:val="Table Grid"/>
    <w:basedOn w:val="TableauNormal"/>
    <w:uiPriority w:val="59"/>
    <w:rsid w:val="005A4C69"/>
    <w:pPr>
      <w:spacing w:before="60" w:after="60" w:line="240" w:lineRule="auto"/>
      <w:jc w:val="left"/>
    </w:pPr>
    <w:tblPr>
      <w:tblStyleRowBandSize w:val="1"/>
      <w:tblStyleColBandSize w:val="1"/>
      <w:tblBorders>
        <w:top w:val="single" w:sz="4" w:space="0" w:color="69AEC4" w:themeColor="accent1"/>
        <w:left w:val="single" w:sz="4" w:space="0" w:color="69AEC4" w:themeColor="accent1"/>
        <w:bottom w:val="single" w:sz="4" w:space="0" w:color="69AEC4" w:themeColor="accent1"/>
        <w:right w:val="single" w:sz="4" w:space="0" w:color="69AEC4" w:themeColor="accent1"/>
        <w:insideH w:val="single" w:sz="4" w:space="0" w:color="69AEC4" w:themeColor="accent1"/>
        <w:insideV w:val="single" w:sz="4" w:space="0" w:color="69AEC4" w:themeColor="accent1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rPr>
        <w:tblHeader/>
      </w:trPr>
      <w:tcPr>
        <w:shd w:val="clear" w:color="auto" w:fill="69AEC4" w:themeFill="accent1"/>
      </w:tcPr>
    </w:tblStylePr>
    <w:tblStylePr w:type="la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cPr>
        <w:shd w:val="clear" w:color="auto" w:fill="69AEC4" w:themeFill="accent1"/>
      </w:tcPr>
    </w:tblStylePr>
    <w:tblStylePr w:type="fir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la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band2Vert">
      <w:tblPr/>
      <w:tcPr>
        <w:shd w:val="clear" w:color="auto" w:fill="E0EEF3" w:themeFill="accent1" w:themeFillTint="33"/>
      </w:tcPr>
    </w:tblStylePr>
    <w:tblStylePr w:type="band2Horz">
      <w:tblPr/>
      <w:tcPr>
        <w:shd w:val="clear" w:color="auto" w:fill="E0EEF3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6D3DDE"/>
    <w:rPr>
      <w:color w:val="005BC7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4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49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967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67D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967D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67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6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Espelia">
      <a:dk1>
        <a:sysClr val="windowText" lastClr="000000"/>
      </a:dk1>
      <a:lt1>
        <a:sysClr val="window" lastClr="FFFFFF"/>
      </a:lt1>
      <a:dk2>
        <a:srgbClr val="4B4644"/>
      </a:dk2>
      <a:lt2>
        <a:srgbClr val="C20418"/>
      </a:lt2>
      <a:accent1>
        <a:srgbClr val="69AEC4"/>
      </a:accent1>
      <a:accent2>
        <a:srgbClr val="AAB400"/>
      </a:accent2>
      <a:accent3>
        <a:srgbClr val="EB6C29"/>
      </a:accent3>
      <a:accent4>
        <a:srgbClr val="724873"/>
      </a:accent4>
      <a:accent5>
        <a:srgbClr val="F7AD0D"/>
      </a:accent5>
      <a:accent6>
        <a:srgbClr val="E85567"/>
      </a:accent6>
      <a:hlink>
        <a:srgbClr val="005BC7"/>
      </a:hlink>
      <a:folHlink>
        <a:srgbClr val="7030A0"/>
      </a:folHlink>
    </a:clrScheme>
    <a:fontScheme name="Espeli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7149-EDF1-416F-8C60-CDCE4419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EM. Mourot</dc:creator>
  <cp:lastModifiedBy>Julie Blancard</cp:lastModifiedBy>
  <cp:revision>2</cp:revision>
  <cp:lastPrinted>2019-10-14T08:02:00Z</cp:lastPrinted>
  <dcterms:created xsi:type="dcterms:W3CDTF">2023-12-08T16:50:00Z</dcterms:created>
  <dcterms:modified xsi:type="dcterms:W3CDTF">2023-12-08T16:50:00Z</dcterms:modified>
</cp:coreProperties>
</file>